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4201" w14:textId="77777777" w:rsidR="00AB61B9" w:rsidRPr="00AB61B9" w:rsidRDefault="00AB61B9" w:rsidP="00AB61B9">
      <w:pPr>
        <w:rPr>
          <w:rFonts w:eastAsia="Times New Roman"/>
        </w:rPr>
      </w:pPr>
      <w:bookmarkStart w:id="0" w:name="_GoBack"/>
      <w:bookmarkEnd w:id="0"/>
      <w:r w:rsidRPr="00AB61B9">
        <w:rPr>
          <w:rStyle w:val="TitleChar"/>
        </w:rPr>
        <w:t>Alternative Instructional Equivalencies by Hour</w:t>
      </w:r>
      <w:r w:rsidRPr="00AB61B9">
        <w:rPr>
          <w:rStyle w:val="TitleChar"/>
        </w:rPr>
        <w:br/>
      </w:r>
      <w:r w:rsidRPr="00AB61B9">
        <w:t>http://catalog.neumann.edu/content.php?catoid=7&amp;navoid=194</w:t>
      </w:r>
    </w:p>
    <w:tbl>
      <w:tblPr>
        <w:tblStyle w:val="TableGrid"/>
        <w:tblW w:w="5000" w:type="pct"/>
        <w:tblLook w:val="04A0" w:firstRow="1" w:lastRow="0" w:firstColumn="1" w:lastColumn="0" w:noHBand="0" w:noVBand="1"/>
      </w:tblPr>
      <w:tblGrid>
        <w:gridCol w:w="3672"/>
        <w:gridCol w:w="3673"/>
        <w:gridCol w:w="3671"/>
      </w:tblGrid>
      <w:tr w:rsidR="00AB61B9" w:rsidRPr="00AB61B9" w14:paraId="515F7412" w14:textId="77777777" w:rsidTr="007D128F">
        <w:tc>
          <w:tcPr>
            <w:tcW w:w="1667" w:type="pct"/>
            <w:hideMark/>
          </w:tcPr>
          <w:p w14:paraId="5D45F64E" w14:textId="77777777" w:rsidR="00AB61B9" w:rsidRPr="00AB61B9" w:rsidRDefault="00AB61B9" w:rsidP="00AB61B9">
            <w:pPr>
              <w:rPr>
                <w:rFonts w:ascii="Times New Roman" w:eastAsia="Times New Roman" w:hAnsi="Times New Roman" w:cs="Times New Roman"/>
                <w:sz w:val="24"/>
              </w:rPr>
            </w:pPr>
            <w:r w:rsidRPr="00AB61B9">
              <w:rPr>
                <w:rFonts w:ascii="Times New Roman" w:eastAsia="Times New Roman" w:hAnsi="Times New Roman" w:cs="Times New Roman"/>
                <w:b/>
                <w:bCs/>
                <w:sz w:val="24"/>
              </w:rPr>
              <w:t>Method of Instruction</w:t>
            </w:r>
          </w:p>
        </w:tc>
        <w:tc>
          <w:tcPr>
            <w:tcW w:w="1667" w:type="pct"/>
            <w:hideMark/>
          </w:tcPr>
          <w:p w14:paraId="6006F549" w14:textId="77777777" w:rsidR="00AB61B9" w:rsidRPr="00AB61B9" w:rsidRDefault="00AB61B9" w:rsidP="00AB61B9">
            <w:pPr>
              <w:jc w:val="center"/>
              <w:rPr>
                <w:rFonts w:ascii="Times New Roman" w:eastAsia="Times New Roman" w:hAnsi="Times New Roman" w:cs="Times New Roman"/>
                <w:sz w:val="24"/>
              </w:rPr>
            </w:pPr>
            <w:r w:rsidRPr="00AB61B9">
              <w:rPr>
                <w:rFonts w:ascii="Times New Roman" w:eastAsia="Times New Roman" w:hAnsi="Times New Roman" w:cs="Times New Roman"/>
                <w:b/>
                <w:bCs/>
                <w:sz w:val="24"/>
              </w:rPr>
              <w:t>Description</w:t>
            </w:r>
          </w:p>
        </w:tc>
        <w:tc>
          <w:tcPr>
            <w:tcW w:w="1666" w:type="pct"/>
            <w:hideMark/>
          </w:tcPr>
          <w:p w14:paraId="05FCE164" w14:textId="77777777" w:rsidR="00AB61B9" w:rsidRPr="00AB61B9" w:rsidRDefault="00AB61B9" w:rsidP="00AB61B9">
            <w:pPr>
              <w:rPr>
                <w:rFonts w:ascii="Times New Roman" w:eastAsia="Times New Roman" w:hAnsi="Times New Roman" w:cs="Times New Roman"/>
                <w:sz w:val="24"/>
              </w:rPr>
            </w:pPr>
            <w:r w:rsidRPr="00AB61B9">
              <w:rPr>
                <w:rFonts w:ascii="Times New Roman" w:eastAsia="Times New Roman" w:hAnsi="Times New Roman" w:cs="Times New Roman"/>
                <w:b/>
                <w:bCs/>
                <w:sz w:val="24"/>
              </w:rPr>
              <w:t>Instructional Hour Equivalency**</w:t>
            </w:r>
          </w:p>
        </w:tc>
      </w:tr>
      <w:tr w:rsidR="00AB61B9" w:rsidRPr="00AB61B9" w14:paraId="786ED758" w14:textId="77777777" w:rsidTr="007D128F">
        <w:tc>
          <w:tcPr>
            <w:tcW w:w="1667" w:type="pct"/>
            <w:hideMark/>
          </w:tcPr>
          <w:p w14:paraId="55F4BFF6" w14:textId="77777777" w:rsidR="00AB61B9" w:rsidRPr="00AB61B9" w:rsidRDefault="00AB61B9" w:rsidP="00AB61B9">
            <w:pPr>
              <w:rPr>
                <w:rFonts w:eastAsia="Times New Roman"/>
              </w:rPr>
            </w:pPr>
            <w:r w:rsidRPr="00AB61B9">
              <w:rPr>
                <w:rFonts w:eastAsia="Times New Roman"/>
              </w:rPr>
              <w:t>Threaded Discussions on NU Learn</w:t>
            </w:r>
          </w:p>
        </w:tc>
        <w:tc>
          <w:tcPr>
            <w:tcW w:w="1667" w:type="pct"/>
            <w:hideMark/>
          </w:tcPr>
          <w:p w14:paraId="29753003" w14:textId="77777777" w:rsidR="00AB61B9" w:rsidRDefault="00AB61B9" w:rsidP="00AB61B9">
            <w:pPr>
              <w:rPr>
                <w:rFonts w:eastAsia="Times New Roman"/>
              </w:rPr>
            </w:pPr>
            <w:r w:rsidRPr="00AB61B9">
              <w:rPr>
                <w:rFonts w:eastAsia="Times New Roman"/>
              </w:rPr>
              <w:t>Instructor-led and mediated threaded discussions (asynchronous learning) which are produced, assessed, and graded according to course rubrics and aligned with learning outcomes. Postings should have specified time frames and clearly delineated expectations for participation (both quality and volume).</w:t>
            </w:r>
          </w:p>
          <w:p w14:paraId="0FBFAF4C" w14:textId="77777777" w:rsidR="002639C2" w:rsidRPr="00AB61B9" w:rsidRDefault="002639C2" w:rsidP="00AB61B9">
            <w:pPr>
              <w:rPr>
                <w:rFonts w:eastAsia="Times New Roman"/>
              </w:rPr>
            </w:pPr>
          </w:p>
        </w:tc>
        <w:tc>
          <w:tcPr>
            <w:tcW w:w="1666" w:type="pct"/>
            <w:hideMark/>
          </w:tcPr>
          <w:p w14:paraId="47B49FAC" w14:textId="77777777" w:rsidR="00AB61B9" w:rsidRPr="00AB61B9" w:rsidRDefault="00AB61B9" w:rsidP="00AB61B9">
            <w:pPr>
              <w:rPr>
                <w:rFonts w:eastAsia="Times New Roman"/>
              </w:rPr>
            </w:pPr>
            <w:r w:rsidRPr="00AB61B9">
              <w:rPr>
                <w:rFonts w:eastAsia="Times New Roman"/>
              </w:rPr>
              <w:t>1 posting with careful reading of all other learner postings = 1⁄2 hour of instructional time</w:t>
            </w:r>
          </w:p>
          <w:p w14:paraId="775E51A3" w14:textId="77777777" w:rsidR="00AB61B9" w:rsidRPr="00AB61B9" w:rsidRDefault="00AB61B9" w:rsidP="00AB61B9">
            <w:pPr>
              <w:rPr>
                <w:rFonts w:eastAsia="Times New Roman"/>
              </w:rPr>
            </w:pPr>
            <w:r w:rsidRPr="00AB61B9">
              <w:rPr>
                <w:rFonts w:eastAsia="Times New Roman"/>
              </w:rPr>
              <w:t>1 posting with careful reading of all other learner postings and replies to at least 5 postings = 1 hour of instructional time</w:t>
            </w:r>
          </w:p>
        </w:tc>
      </w:tr>
      <w:tr w:rsidR="00AB61B9" w:rsidRPr="00AB61B9" w14:paraId="5C4A05D7" w14:textId="77777777" w:rsidTr="007D128F">
        <w:tc>
          <w:tcPr>
            <w:tcW w:w="1667" w:type="pct"/>
            <w:hideMark/>
          </w:tcPr>
          <w:p w14:paraId="4F4831FF" w14:textId="77777777" w:rsidR="00AB61B9" w:rsidRPr="00AB61B9" w:rsidRDefault="00AB61B9" w:rsidP="00AB61B9">
            <w:pPr>
              <w:rPr>
                <w:rFonts w:eastAsia="Times New Roman"/>
              </w:rPr>
            </w:pPr>
            <w:r w:rsidRPr="00AB61B9">
              <w:rPr>
                <w:rFonts w:eastAsia="Times New Roman"/>
              </w:rPr>
              <w:t>Synchronous Discussions on NU Learn</w:t>
            </w:r>
          </w:p>
        </w:tc>
        <w:tc>
          <w:tcPr>
            <w:tcW w:w="1667" w:type="pct"/>
            <w:hideMark/>
          </w:tcPr>
          <w:p w14:paraId="1FB2D430" w14:textId="77777777" w:rsidR="00AB61B9" w:rsidRDefault="00AB61B9" w:rsidP="00AB61B9">
            <w:pPr>
              <w:rPr>
                <w:rFonts w:eastAsia="Times New Roman"/>
              </w:rPr>
            </w:pPr>
            <w:r w:rsidRPr="00AB61B9">
              <w:rPr>
                <w:rFonts w:eastAsia="Times New Roman"/>
              </w:rPr>
              <w:t>Instructor-led online discussions (synchronous learning) which are produced, assessed, and graded according to course rubrics and aligned with course learning outcomes. Instructor will provide specific goals and objectives for assessing quality and volume of participation among members of online learning community.</w:t>
            </w:r>
          </w:p>
          <w:p w14:paraId="2A82F308" w14:textId="77777777" w:rsidR="002639C2" w:rsidRPr="00AB61B9" w:rsidRDefault="002639C2" w:rsidP="00AB61B9">
            <w:pPr>
              <w:rPr>
                <w:rFonts w:eastAsia="Times New Roman"/>
              </w:rPr>
            </w:pPr>
          </w:p>
        </w:tc>
        <w:tc>
          <w:tcPr>
            <w:tcW w:w="1666" w:type="pct"/>
            <w:hideMark/>
          </w:tcPr>
          <w:p w14:paraId="7CB23938" w14:textId="77777777" w:rsidR="00AB61B9" w:rsidRPr="00AB61B9" w:rsidRDefault="00AB61B9" w:rsidP="00AB61B9">
            <w:pPr>
              <w:rPr>
                <w:rFonts w:eastAsia="Times New Roman"/>
              </w:rPr>
            </w:pPr>
            <w:r w:rsidRPr="00AB61B9">
              <w:rPr>
                <w:rFonts w:eastAsia="Times New Roman"/>
              </w:rPr>
              <w:t>1 hour of substantive chat = 1 instructional hour</w:t>
            </w:r>
          </w:p>
        </w:tc>
      </w:tr>
      <w:tr w:rsidR="00AB61B9" w:rsidRPr="00AB61B9" w14:paraId="4AAE5698" w14:textId="77777777" w:rsidTr="007D128F">
        <w:tc>
          <w:tcPr>
            <w:tcW w:w="1667" w:type="pct"/>
            <w:hideMark/>
          </w:tcPr>
          <w:p w14:paraId="1ECEE38C" w14:textId="77777777" w:rsidR="00AB61B9" w:rsidRPr="00AB61B9" w:rsidRDefault="00AB61B9" w:rsidP="00AB61B9">
            <w:pPr>
              <w:rPr>
                <w:rFonts w:eastAsia="Times New Roman"/>
              </w:rPr>
            </w:pPr>
            <w:r w:rsidRPr="00AB61B9">
              <w:rPr>
                <w:rFonts w:eastAsia="Times New Roman"/>
              </w:rPr>
              <w:t>Journals and Weblogs (“Blogs”)**</w:t>
            </w:r>
          </w:p>
        </w:tc>
        <w:tc>
          <w:tcPr>
            <w:tcW w:w="1667" w:type="pct"/>
            <w:hideMark/>
          </w:tcPr>
          <w:p w14:paraId="01FC2E8E" w14:textId="77777777" w:rsidR="00AB61B9" w:rsidRDefault="00AB61B9" w:rsidP="00AB61B9">
            <w:pPr>
              <w:rPr>
                <w:rFonts w:eastAsia="Times New Roman"/>
              </w:rPr>
            </w:pPr>
            <w:r w:rsidRPr="00AB61B9">
              <w:rPr>
                <w:rFonts w:eastAsia="Times New Roman"/>
              </w:rPr>
              <w:t>Learner postings of written work (asynchronous learning) produced, assessed, and graded according to course rubrics and aligned with course learning outcomes. Postings will be shared with instructor and peers for thoughtful and thorough analysis and assessment.</w:t>
            </w:r>
          </w:p>
          <w:p w14:paraId="4292B602" w14:textId="77777777" w:rsidR="002639C2" w:rsidRPr="00AB61B9" w:rsidRDefault="002639C2" w:rsidP="00AB61B9">
            <w:pPr>
              <w:rPr>
                <w:rFonts w:eastAsia="Times New Roman"/>
              </w:rPr>
            </w:pPr>
          </w:p>
        </w:tc>
        <w:tc>
          <w:tcPr>
            <w:tcW w:w="1666" w:type="pct"/>
            <w:hideMark/>
          </w:tcPr>
          <w:p w14:paraId="115D3BF4" w14:textId="77777777" w:rsidR="00AB61B9" w:rsidRPr="00AB61B9" w:rsidRDefault="00AB61B9" w:rsidP="00AB61B9">
            <w:pPr>
              <w:rPr>
                <w:rFonts w:eastAsia="Times New Roman"/>
              </w:rPr>
            </w:pPr>
            <w:r w:rsidRPr="00AB61B9">
              <w:rPr>
                <w:rFonts w:eastAsia="Times New Roman"/>
              </w:rPr>
              <w:t>1 private posting = 1⁄2 instructional hour</w:t>
            </w:r>
          </w:p>
          <w:p w14:paraId="40D1C639" w14:textId="77777777" w:rsidR="00AB61B9" w:rsidRPr="00AB61B9" w:rsidRDefault="00AB61B9" w:rsidP="00AB61B9">
            <w:pPr>
              <w:rPr>
                <w:rFonts w:eastAsia="Times New Roman"/>
              </w:rPr>
            </w:pPr>
            <w:r w:rsidRPr="00AB61B9">
              <w:rPr>
                <w:rFonts w:eastAsia="Times New Roman"/>
              </w:rPr>
              <w:t>1 shared posting = 1 instructional hour</w:t>
            </w:r>
          </w:p>
        </w:tc>
      </w:tr>
      <w:tr w:rsidR="00AB61B9" w:rsidRPr="00AB61B9" w14:paraId="03076043" w14:textId="77777777" w:rsidTr="007D128F">
        <w:tc>
          <w:tcPr>
            <w:tcW w:w="1667" w:type="pct"/>
            <w:hideMark/>
          </w:tcPr>
          <w:p w14:paraId="1D3CCF8D" w14:textId="77777777" w:rsidR="00AB61B9" w:rsidRPr="00AB61B9" w:rsidRDefault="00AB61B9" w:rsidP="00AB61B9">
            <w:pPr>
              <w:rPr>
                <w:rFonts w:eastAsia="Times New Roman"/>
              </w:rPr>
            </w:pPr>
            <w:r w:rsidRPr="00AB61B9">
              <w:rPr>
                <w:rFonts w:eastAsia="Times New Roman"/>
              </w:rPr>
              <w:t>Library, Online, and Electronic Database Research**</w:t>
            </w:r>
          </w:p>
        </w:tc>
        <w:tc>
          <w:tcPr>
            <w:tcW w:w="1667" w:type="pct"/>
            <w:hideMark/>
          </w:tcPr>
          <w:p w14:paraId="40F30EE4" w14:textId="77777777" w:rsidR="00AB61B9" w:rsidRDefault="00AB61B9" w:rsidP="00AB61B9">
            <w:pPr>
              <w:rPr>
                <w:rFonts w:eastAsia="Times New Roman"/>
              </w:rPr>
            </w:pPr>
            <w:r w:rsidRPr="00AB61B9">
              <w:rPr>
                <w:rFonts w:eastAsia="Times New Roman"/>
              </w:rPr>
              <w:t>Instructor-guided research on peer-reviewed scholarly articles and digitized primary documents and resources leading to work products aligned with course objectives and American Library Association (ALA) outcomes for assessing information literacy competencies. Projects will be shared with instructor and peers and assessed according to course-based and ALA rubrics.</w:t>
            </w:r>
          </w:p>
          <w:p w14:paraId="478F2349" w14:textId="77777777" w:rsidR="002639C2" w:rsidRPr="00AB61B9" w:rsidRDefault="002639C2" w:rsidP="00AB61B9">
            <w:pPr>
              <w:rPr>
                <w:rFonts w:eastAsia="Times New Roman"/>
              </w:rPr>
            </w:pPr>
          </w:p>
        </w:tc>
        <w:tc>
          <w:tcPr>
            <w:tcW w:w="1666" w:type="pct"/>
            <w:hideMark/>
          </w:tcPr>
          <w:p w14:paraId="594974EB" w14:textId="77777777" w:rsidR="00AB61B9" w:rsidRPr="00AB61B9" w:rsidRDefault="00AB61B9" w:rsidP="00AB61B9">
            <w:pPr>
              <w:rPr>
                <w:rFonts w:eastAsia="Times New Roman"/>
              </w:rPr>
            </w:pPr>
            <w:r w:rsidRPr="00AB61B9">
              <w:rPr>
                <w:rFonts w:eastAsia="Times New Roman"/>
              </w:rPr>
              <w:t>1 five-page project = 1 instructional hour</w:t>
            </w:r>
          </w:p>
          <w:p w14:paraId="72174D8F" w14:textId="77777777" w:rsidR="00AB61B9" w:rsidRPr="00AB61B9" w:rsidRDefault="00AB61B9" w:rsidP="00AB61B9">
            <w:pPr>
              <w:rPr>
                <w:rFonts w:eastAsia="Times New Roman"/>
              </w:rPr>
            </w:pPr>
            <w:r w:rsidRPr="00AB61B9">
              <w:rPr>
                <w:rFonts w:eastAsia="Times New Roman"/>
              </w:rPr>
              <w:t>1 three- to five-page literature review paper = 1 instructional hour</w:t>
            </w:r>
          </w:p>
        </w:tc>
      </w:tr>
      <w:tr w:rsidR="00F94E3D" w:rsidRPr="00AB61B9" w14:paraId="5ECAE085" w14:textId="77777777" w:rsidTr="007D128F">
        <w:tc>
          <w:tcPr>
            <w:tcW w:w="1667" w:type="pct"/>
          </w:tcPr>
          <w:p w14:paraId="4D04A0D0" w14:textId="77777777" w:rsidR="00F94E3D" w:rsidRPr="00AB61B9" w:rsidRDefault="00F94E3D" w:rsidP="00AB61B9">
            <w:pPr>
              <w:rPr>
                <w:rFonts w:eastAsia="Times New Roman"/>
              </w:rPr>
            </w:pPr>
            <w:r w:rsidRPr="00AB61B9">
              <w:rPr>
                <w:rFonts w:eastAsia="Times New Roman"/>
              </w:rPr>
              <w:t>Online Lecture in Streaming Audio or Video</w:t>
            </w:r>
          </w:p>
        </w:tc>
        <w:tc>
          <w:tcPr>
            <w:tcW w:w="1667" w:type="pct"/>
          </w:tcPr>
          <w:p w14:paraId="459A276D" w14:textId="77777777" w:rsidR="00F94E3D" w:rsidRDefault="00F94E3D" w:rsidP="00AB61B9">
            <w:pPr>
              <w:rPr>
                <w:rFonts w:eastAsia="Times New Roman"/>
              </w:rPr>
            </w:pPr>
            <w:r w:rsidRPr="00AB61B9">
              <w:rPr>
                <w:rFonts w:eastAsia="Times New Roman"/>
              </w:rPr>
              <w:t>Learners view, listen, and respond to streaming lectures in online format and then answer questions designed and assessed according to course rubrics and aligned with learning outcomes. Learner answers will be shared with instructor and peers in order to generate further discussion of salient topics.</w:t>
            </w:r>
          </w:p>
          <w:p w14:paraId="45E7659A" w14:textId="77777777" w:rsidR="002639C2" w:rsidRPr="00AB61B9" w:rsidRDefault="002639C2" w:rsidP="00AB61B9">
            <w:pPr>
              <w:rPr>
                <w:rFonts w:eastAsia="Times New Roman"/>
              </w:rPr>
            </w:pPr>
          </w:p>
        </w:tc>
        <w:tc>
          <w:tcPr>
            <w:tcW w:w="1666" w:type="pct"/>
          </w:tcPr>
          <w:p w14:paraId="59319917" w14:textId="77777777" w:rsidR="00F94E3D" w:rsidRPr="00AB61B9" w:rsidRDefault="00F94E3D" w:rsidP="00217E37">
            <w:pPr>
              <w:rPr>
                <w:rFonts w:eastAsia="Times New Roman"/>
              </w:rPr>
            </w:pPr>
            <w:r w:rsidRPr="00AB61B9">
              <w:rPr>
                <w:rFonts w:eastAsia="Times New Roman"/>
              </w:rPr>
              <w:t>View or listen to lecture and post responses = 1 instructional hour</w:t>
            </w:r>
          </w:p>
        </w:tc>
      </w:tr>
    </w:tbl>
    <w:p w14:paraId="28142E00" w14:textId="77777777" w:rsidR="00AB61B9" w:rsidRDefault="00AB61B9">
      <w:r>
        <w:br w:type="page"/>
      </w:r>
    </w:p>
    <w:tbl>
      <w:tblPr>
        <w:tblStyle w:val="TableGrid"/>
        <w:tblW w:w="5000" w:type="pct"/>
        <w:tblLook w:val="04A0" w:firstRow="1" w:lastRow="0" w:firstColumn="1" w:lastColumn="0" w:noHBand="0" w:noVBand="1"/>
      </w:tblPr>
      <w:tblGrid>
        <w:gridCol w:w="3672"/>
        <w:gridCol w:w="3673"/>
        <w:gridCol w:w="3671"/>
      </w:tblGrid>
      <w:tr w:rsidR="00F4411C" w:rsidRPr="00AB61B9" w14:paraId="52F2CE23" w14:textId="77777777" w:rsidTr="007D128F">
        <w:tc>
          <w:tcPr>
            <w:tcW w:w="1667" w:type="pct"/>
            <w:hideMark/>
          </w:tcPr>
          <w:p w14:paraId="29358E1E" w14:textId="77777777" w:rsidR="00F4411C" w:rsidRPr="00AB61B9" w:rsidRDefault="00F4411C" w:rsidP="00217E37">
            <w:pPr>
              <w:rPr>
                <w:rFonts w:ascii="Times New Roman" w:eastAsia="Times New Roman" w:hAnsi="Times New Roman" w:cs="Times New Roman"/>
                <w:sz w:val="24"/>
              </w:rPr>
            </w:pPr>
            <w:r w:rsidRPr="00AB61B9">
              <w:rPr>
                <w:rFonts w:ascii="Times New Roman" w:eastAsia="Times New Roman" w:hAnsi="Times New Roman" w:cs="Times New Roman"/>
                <w:b/>
                <w:bCs/>
                <w:sz w:val="24"/>
              </w:rPr>
              <w:lastRenderedPageBreak/>
              <w:t>Method of Instruction</w:t>
            </w:r>
          </w:p>
        </w:tc>
        <w:tc>
          <w:tcPr>
            <w:tcW w:w="1667" w:type="pct"/>
            <w:hideMark/>
          </w:tcPr>
          <w:p w14:paraId="0699DFC1" w14:textId="77777777" w:rsidR="00F4411C" w:rsidRPr="00AB61B9" w:rsidRDefault="00F4411C" w:rsidP="00217E37">
            <w:pPr>
              <w:jc w:val="center"/>
              <w:rPr>
                <w:rFonts w:ascii="Times New Roman" w:eastAsia="Times New Roman" w:hAnsi="Times New Roman" w:cs="Times New Roman"/>
                <w:sz w:val="24"/>
              </w:rPr>
            </w:pPr>
            <w:r w:rsidRPr="00AB61B9">
              <w:rPr>
                <w:rFonts w:ascii="Times New Roman" w:eastAsia="Times New Roman" w:hAnsi="Times New Roman" w:cs="Times New Roman"/>
                <w:b/>
                <w:bCs/>
                <w:sz w:val="24"/>
              </w:rPr>
              <w:t>Description</w:t>
            </w:r>
          </w:p>
        </w:tc>
        <w:tc>
          <w:tcPr>
            <w:tcW w:w="1666" w:type="pct"/>
            <w:hideMark/>
          </w:tcPr>
          <w:p w14:paraId="5829B432" w14:textId="77777777" w:rsidR="00F4411C" w:rsidRPr="00AB61B9" w:rsidRDefault="00F4411C" w:rsidP="00217E37">
            <w:pPr>
              <w:rPr>
                <w:rFonts w:ascii="Times New Roman" w:eastAsia="Times New Roman" w:hAnsi="Times New Roman" w:cs="Times New Roman"/>
                <w:sz w:val="24"/>
              </w:rPr>
            </w:pPr>
            <w:r w:rsidRPr="00AB61B9">
              <w:rPr>
                <w:rFonts w:ascii="Times New Roman" w:eastAsia="Times New Roman" w:hAnsi="Times New Roman" w:cs="Times New Roman"/>
                <w:b/>
                <w:bCs/>
                <w:sz w:val="24"/>
              </w:rPr>
              <w:t>Instructional Hour Equivalency**</w:t>
            </w:r>
          </w:p>
        </w:tc>
      </w:tr>
      <w:tr w:rsidR="00AB61B9" w:rsidRPr="00AB61B9" w14:paraId="5ECFC9CF" w14:textId="77777777" w:rsidTr="007D128F">
        <w:tc>
          <w:tcPr>
            <w:tcW w:w="1667" w:type="pct"/>
            <w:hideMark/>
          </w:tcPr>
          <w:p w14:paraId="47DAE4BD" w14:textId="77777777" w:rsidR="00AB61B9" w:rsidRPr="00AB61B9" w:rsidRDefault="00AB61B9" w:rsidP="00AB61B9">
            <w:pPr>
              <w:rPr>
                <w:rFonts w:eastAsia="Times New Roman"/>
              </w:rPr>
            </w:pPr>
            <w:r w:rsidRPr="00AB61B9">
              <w:rPr>
                <w:rFonts w:eastAsia="Times New Roman"/>
              </w:rPr>
              <w:t>Attendance at Cultural or Artistic Events</w:t>
            </w:r>
          </w:p>
        </w:tc>
        <w:tc>
          <w:tcPr>
            <w:tcW w:w="1667" w:type="pct"/>
            <w:hideMark/>
          </w:tcPr>
          <w:p w14:paraId="33860033" w14:textId="77777777" w:rsidR="00AB61B9" w:rsidRPr="00AB61B9" w:rsidRDefault="00AB61B9" w:rsidP="00AB61B9">
            <w:pPr>
              <w:rPr>
                <w:rFonts w:eastAsia="Times New Roman"/>
              </w:rPr>
            </w:pPr>
            <w:r w:rsidRPr="00AB61B9">
              <w:rPr>
                <w:rFonts w:eastAsia="Times New Roman"/>
              </w:rPr>
              <w:t>Learners attend and review cultural or artistic events (such as a play, musical performance, exhibition of visual art, lecture, etc.). Reviews will be produced, assessed, and graded according to course rubrics and aligned with learning outcomes.</w:t>
            </w:r>
          </w:p>
        </w:tc>
        <w:tc>
          <w:tcPr>
            <w:tcW w:w="1666" w:type="pct"/>
            <w:hideMark/>
          </w:tcPr>
          <w:p w14:paraId="36C280B1" w14:textId="77777777" w:rsidR="00AB61B9" w:rsidRPr="00AB61B9" w:rsidRDefault="00AB61B9" w:rsidP="00AB61B9">
            <w:pPr>
              <w:rPr>
                <w:rFonts w:eastAsia="Times New Roman"/>
              </w:rPr>
            </w:pPr>
            <w:r w:rsidRPr="00AB61B9">
              <w:rPr>
                <w:rFonts w:eastAsia="Times New Roman"/>
              </w:rPr>
              <w:t>Attendance at event + three-page review essay = 1 instructional hour</w:t>
            </w:r>
          </w:p>
        </w:tc>
      </w:tr>
      <w:tr w:rsidR="00AB61B9" w:rsidRPr="00AB61B9" w14:paraId="6A7E1420" w14:textId="77777777" w:rsidTr="007D128F">
        <w:tc>
          <w:tcPr>
            <w:tcW w:w="1667" w:type="pct"/>
            <w:hideMark/>
          </w:tcPr>
          <w:p w14:paraId="647DFD4A" w14:textId="77777777" w:rsidR="00AB61B9" w:rsidRPr="00AB61B9" w:rsidRDefault="00AB61B9" w:rsidP="00AB61B9">
            <w:pPr>
              <w:rPr>
                <w:rFonts w:eastAsia="Times New Roman"/>
              </w:rPr>
            </w:pPr>
            <w:r w:rsidRPr="00AB61B9">
              <w:rPr>
                <w:rFonts w:eastAsia="Times New Roman"/>
              </w:rPr>
              <w:t>Conferences and Workshops on Learning Portfolio Preparation</w:t>
            </w:r>
          </w:p>
        </w:tc>
        <w:tc>
          <w:tcPr>
            <w:tcW w:w="1667" w:type="pct"/>
            <w:hideMark/>
          </w:tcPr>
          <w:p w14:paraId="506AD9B9" w14:textId="77777777" w:rsidR="00AB61B9" w:rsidRPr="00AB61B9" w:rsidRDefault="00AB61B9" w:rsidP="00AB61B9">
            <w:pPr>
              <w:rPr>
                <w:rFonts w:eastAsia="Times New Roman"/>
              </w:rPr>
            </w:pPr>
            <w:r w:rsidRPr="00AB61B9">
              <w:rPr>
                <w:rFonts w:eastAsia="Times New Roman"/>
              </w:rPr>
              <w:t>Instructors meet with learners to compile, evaluate, and produce learning portfolios prepared according to course/program rubrics and aligned with course/program learning outcomes.</w:t>
            </w:r>
          </w:p>
        </w:tc>
        <w:tc>
          <w:tcPr>
            <w:tcW w:w="1666" w:type="pct"/>
            <w:hideMark/>
          </w:tcPr>
          <w:p w14:paraId="2E2F5FE1" w14:textId="77777777" w:rsidR="00AB61B9" w:rsidRPr="00AB61B9" w:rsidRDefault="00AB61B9" w:rsidP="00AB61B9">
            <w:pPr>
              <w:rPr>
                <w:rFonts w:eastAsia="Times New Roman"/>
              </w:rPr>
            </w:pPr>
            <w:r w:rsidRPr="00AB61B9">
              <w:rPr>
                <w:rFonts w:eastAsia="Times New Roman"/>
              </w:rPr>
              <w:t>Portfolio conferencing with final presentation of completed portfolio = 1 instructional hour</w:t>
            </w:r>
          </w:p>
        </w:tc>
      </w:tr>
      <w:tr w:rsidR="00AB61B9" w:rsidRPr="00AB61B9" w14:paraId="6045B250" w14:textId="77777777" w:rsidTr="007D128F">
        <w:tc>
          <w:tcPr>
            <w:tcW w:w="1667" w:type="pct"/>
            <w:hideMark/>
          </w:tcPr>
          <w:p w14:paraId="01D70438" w14:textId="77777777" w:rsidR="00AB61B9" w:rsidRPr="00AB61B9" w:rsidRDefault="00AB61B9" w:rsidP="00AB61B9">
            <w:pPr>
              <w:rPr>
                <w:rFonts w:eastAsia="Times New Roman"/>
              </w:rPr>
            </w:pPr>
            <w:r w:rsidRPr="00AB61B9">
              <w:rPr>
                <w:rFonts w:eastAsia="Times New Roman"/>
              </w:rPr>
              <w:t>Guest Lectures</w:t>
            </w:r>
          </w:p>
        </w:tc>
        <w:tc>
          <w:tcPr>
            <w:tcW w:w="1667" w:type="pct"/>
            <w:hideMark/>
          </w:tcPr>
          <w:p w14:paraId="30C97DBC" w14:textId="77777777" w:rsidR="00AB61B9" w:rsidRPr="00AB61B9" w:rsidRDefault="00AB61B9" w:rsidP="00AB61B9">
            <w:pPr>
              <w:rPr>
                <w:rFonts w:eastAsia="Times New Roman"/>
              </w:rPr>
            </w:pPr>
            <w:r w:rsidRPr="00AB61B9">
              <w:rPr>
                <w:rFonts w:eastAsia="Times New Roman"/>
              </w:rPr>
              <w:t>Guest lecturers present on specialized topics relevant to course description, learning goals, and outcomes. Assessment instruments will be used to assess learning outcomes, aligned with unit objectives and learner responses.</w:t>
            </w:r>
          </w:p>
        </w:tc>
        <w:tc>
          <w:tcPr>
            <w:tcW w:w="1666" w:type="pct"/>
            <w:hideMark/>
          </w:tcPr>
          <w:p w14:paraId="3CE96147" w14:textId="77777777" w:rsidR="00AB61B9" w:rsidRPr="00AB61B9" w:rsidRDefault="00AB61B9" w:rsidP="00AB61B9">
            <w:pPr>
              <w:rPr>
                <w:rFonts w:eastAsia="Times New Roman"/>
              </w:rPr>
            </w:pPr>
            <w:r w:rsidRPr="00AB61B9">
              <w:rPr>
                <w:rFonts w:eastAsia="Times New Roman"/>
              </w:rPr>
              <w:t>Lecture of 1 hour with assessments = 1 instructional hour</w:t>
            </w:r>
          </w:p>
        </w:tc>
      </w:tr>
      <w:tr w:rsidR="00AB61B9" w:rsidRPr="00AB61B9" w14:paraId="3CE138D0" w14:textId="77777777" w:rsidTr="007D128F">
        <w:tc>
          <w:tcPr>
            <w:tcW w:w="1667" w:type="pct"/>
            <w:hideMark/>
          </w:tcPr>
          <w:p w14:paraId="6CD698E0" w14:textId="77777777" w:rsidR="00AB61B9" w:rsidRPr="00AB61B9" w:rsidRDefault="00AB61B9" w:rsidP="00AB61B9">
            <w:pPr>
              <w:rPr>
                <w:rFonts w:eastAsia="Times New Roman"/>
              </w:rPr>
            </w:pPr>
            <w:r w:rsidRPr="00AB61B9">
              <w:rPr>
                <w:rFonts w:eastAsia="Times New Roman"/>
              </w:rPr>
              <w:t>Learning Community Projects</w:t>
            </w:r>
          </w:p>
        </w:tc>
        <w:tc>
          <w:tcPr>
            <w:tcW w:w="1667" w:type="pct"/>
            <w:hideMark/>
          </w:tcPr>
          <w:p w14:paraId="7FB3C634" w14:textId="77777777" w:rsidR="00AB61B9" w:rsidRPr="00AB61B9" w:rsidRDefault="00AB61B9" w:rsidP="00AB61B9">
            <w:pPr>
              <w:rPr>
                <w:rFonts w:eastAsia="Times New Roman"/>
              </w:rPr>
            </w:pPr>
            <w:r w:rsidRPr="00AB61B9">
              <w:rPr>
                <w:rFonts w:eastAsia="Times New Roman"/>
              </w:rPr>
              <w:t>Instructor-guided group learning projects culminating in work products aligned with course or unit objectives and assessed according to course rubrics. Learners interact online (through asynchronous and synchronous discussion, email, podcasts, and posted materials) or face-to-face and work with the instructor to research, analyze, and synthesize information culminating in a project with demonstrable outcomes.</w:t>
            </w:r>
          </w:p>
        </w:tc>
        <w:tc>
          <w:tcPr>
            <w:tcW w:w="1666" w:type="pct"/>
            <w:hideMark/>
          </w:tcPr>
          <w:p w14:paraId="2EC7AA69" w14:textId="77777777" w:rsidR="00AB61B9" w:rsidRPr="00AB61B9" w:rsidRDefault="00AB61B9" w:rsidP="00AB61B9">
            <w:pPr>
              <w:rPr>
                <w:rFonts w:eastAsia="Times New Roman"/>
              </w:rPr>
            </w:pPr>
            <w:r w:rsidRPr="00AB61B9">
              <w:rPr>
                <w:rFonts w:eastAsia="Times New Roman"/>
              </w:rPr>
              <w:t>1 meeting hour per week = 1 instructional hour</w:t>
            </w:r>
          </w:p>
        </w:tc>
      </w:tr>
      <w:tr w:rsidR="00AB61B9" w:rsidRPr="00AB61B9" w14:paraId="56D58DEE" w14:textId="77777777" w:rsidTr="007D128F">
        <w:tc>
          <w:tcPr>
            <w:tcW w:w="1667" w:type="pct"/>
            <w:hideMark/>
          </w:tcPr>
          <w:p w14:paraId="274D6605" w14:textId="77777777" w:rsidR="00AB61B9" w:rsidRPr="00AB61B9" w:rsidRDefault="00AB61B9" w:rsidP="00AB61B9">
            <w:pPr>
              <w:rPr>
                <w:rFonts w:eastAsia="Times New Roman"/>
              </w:rPr>
            </w:pPr>
            <w:r>
              <w:br w:type="page"/>
            </w:r>
            <w:r w:rsidRPr="00AB61B9">
              <w:rPr>
                <w:rFonts w:eastAsia="Times New Roman"/>
              </w:rPr>
              <w:t xml:space="preserve">Instructional CDs, PowerPoints, podcasts, DVDs, </w:t>
            </w:r>
            <w:proofErr w:type="spellStart"/>
            <w:r w:rsidRPr="00AB61B9">
              <w:rPr>
                <w:rFonts w:eastAsia="Times New Roman"/>
              </w:rPr>
              <w:t>Impatica</w:t>
            </w:r>
            <w:proofErr w:type="spellEnd"/>
            <w:r w:rsidRPr="00AB61B9">
              <w:rPr>
                <w:rFonts w:eastAsia="Times New Roman"/>
              </w:rPr>
              <w:t>© Presentations, and Videos**</w:t>
            </w:r>
          </w:p>
        </w:tc>
        <w:tc>
          <w:tcPr>
            <w:tcW w:w="1667" w:type="pct"/>
            <w:hideMark/>
          </w:tcPr>
          <w:p w14:paraId="5F4F9B37" w14:textId="77777777" w:rsidR="00AB61B9" w:rsidRPr="00AB61B9" w:rsidRDefault="00AB61B9" w:rsidP="00AB61B9">
            <w:pPr>
              <w:rPr>
                <w:rFonts w:eastAsia="Times New Roman"/>
              </w:rPr>
            </w:pPr>
            <w:r w:rsidRPr="00AB61B9">
              <w:rPr>
                <w:rFonts w:eastAsia="Times New Roman"/>
              </w:rPr>
              <w:t xml:space="preserve">Instructor-mediated instructional CDs, PowerPoint presentations, </w:t>
            </w:r>
            <w:proofErr w:type="spellStart"/>
            <w:r w:rsidRPr="00AB61B9">
              <w:rPr>
                <w:rFonts w:eastAsia="Times New Roman"/>
              </w:rPr>
              <w:t>Impatica</w:t>
            </w:r>
            <w:proofErr w:type="spellEnd"/>
            <w:r w:rsidRPr="00AB61B9">
              <w:rPr>
                <w:rFonts w:eastAsia="Times New Roman"/>
              </w:rPr>
              <w:t>© presentations, podcasts, DVDs, or videos are used to enhance, clarify, or expand upon topics or concepts relevant to course content and learning outcomes. Learners submit, share, or post responses produced and assessed according to course or unit rubrics.</w:t>
            </w:r>
          </w:p>
        </w:tc>
        <w:tc>
          <w:tcPr>
            <w:tcW w:w="1666" w:type="pct"/>
            <w:hideMark/>
          </w:tcPr>
          <w:p w14:paraId="0C027F2D" w14:textId="77777777" w:rsidR="00AB61B9" w:rsidRPr="00AB61B9" w:rsidRDefault="00AB61B9" w:rsidP="00AB61B9">
            <w:pPr>
              <w:rPr>
                <w:rFonts w:eastAsia="Times New Roman"/>
              </w:rPr>
            </w:pPr>
            <w:r w:rsidRPr="00AB61B9">
              <w:rPr>
                <w:rFonts w:eastAsia="Times New Roman"/>
              </w:rPr>
              <w:t>1 hour of viewing/listening + shared or posted response = 1 instructional hour</w:t>
            </w:r>
          </w:p>
        </w:tc>
      </w:tr>
      <w:tr w:rsidR="00AB61B9" w:rsidRPr="00AB61B9" w14:paraId="500BA4F4" w14:textId="77777777" w:rsidTr="007D128F">
        <w:tc>
          <w:tcPr>
            <w:tcW w:w="1667" w:type="pct"/>
            <w:hideMark/>
          </w:tcPr>
          <w:p w14:paraId="59B2C039" w14:textId="77777777" w:rsidR="00AB61B9" w:rsidRPr="00AB61B9" w:rsidRDefault="00AB61B9" w:rsidP="00AB61B9">
            <w:pPr>
              <w:rPr>
                <w:rFonts w:eastAsia="Times New Roman"/>
              </w:rPr>
            </w:pPr>
            <w:r w:rsidRPr="00AB61B9">
              <w:rPr>
                <w:rFonts w:eastAsia="Times New Roman"/>
              </w:rPr>
              <w:t>Field Trips, Tours, and Virtual Tours</w:t>
            </w:r>
          </w:p>
        </w:tc>
        <w:tc>
          <w:tcPr>
            <w:tcW w:w="1667" w:type="pct"/>
            <w:hideMark/>
          </w:tcPr>
          <w:p w14:paraId="39851F9A" w14:textId="77777777" w:rsidR="00AB61B9" w:rsidRPr="00AB61B9" w:rsidRDefault="00AB61B9" w:rsidP="00AB61B9">
            <w:pPr>
              <w:rPr>
                <w:rFonts w:eastAsia="Times New Roman"/>
              </w:rPr>
            </w:pPr>
            <w:r w:rsidRPr="00AB61B9">
              <w:rPr>
                <w:rFonts w:eastAsia="Times New Roman"/>
              </w:rPr>
              <w:t>Learners take field trips or tours, including virtual tours, and report in to instructor and peers. In cases where students travel alone or in a group unaccompanied by instructor or facilitator, written reflection papers will be produced, distributed/posted, assessed, and graded according to course rubrics and aligned with course learning outcomes.</w:t>
            </w:r>
          </w:p>
        </w:tc>
        <w:tc>
          <w:tcPr>
            <w:tcW w:w="1666" w:type="pct"/>
            <w:hideMark/>
          </w:tcPr>
          <w:p w14:paraId="431A2911" w14:textId="77777777" w:rsidR="00AB61B9" w:rsidRPr="00AB61B9" w:rsidRDefault="00AB61B9" w:rsidP="00AB61B9">
            <w:pPr>
              <w:rPr>
                <w:rFonts w:eastAsia="Times New Roman"/>
              </w:rPr>
            </w:pPr>
            <w:r w:rsidRPr="00AB61B9">
              <w:rPr>
                <w:rFonts w:eastAsia="Times New Roman"/>
              </w:rPr>
              <w:t>1-hour instructor- or facilitator-led field trip or tour = 1 instructional hour</w:t>
            </w:r>
          </w:p>
          <w:p w14:paraId="5DA64E03" w14:textId="77777777" w:rsidR="00AB61B9" w:rsidRPr="00AB61B9" w:rsidRDefault="00AB61B9" w:rsidP="00AB61B9">
            <w:pPr>
              <w:rPr>
                <w:rFonts w:eastAsia="Times New Roman"/>
              </w:rPr>
            </w:pPr>
            <w:r w:rsidRPr="00AB61B9">
              <w:rPr>
                <w:rFonts w:eastAsia="Times New Roman"/>
              </w:rPr>
              <w:t>1-hour unaccompanied student field trip or tour + reflection paper = 1 instructional hour</w:t>
            </w:r>
          </w:p>
        </w:tc>
      </w:tr>
    </w:tbl>
    <w:p w14:paraId="69C3F2A4" w14:textId="77777777" w:rsidR="005B621F" w:rsidRDefault="005B621F"/>
    <w:p w14:paraId="1D405ACB" w14:textId="77777777" w:rsidR="005B621F" w:rsidRDefault="005B621F">
      <w:pPr>
        <w:spacing w:line="276" w:lineRule="auto"/>
      </w:pPr>
      <w:r>
        <w:br w:type="page"/>
      </w:r>
    </w:p>
    <w:tbl>
      <w:tblPr>
        <w:tblStyle w:val="TableGrid"/>
        <w:tblW w:w="5000" w:type="pct"/>
        <w:tblLook w:val="04A0" w:firstRow="1" w:lastRow="0" w:firstColumn="1" w:lastColumn="0" w:noHBand="0" w:noVBand="1"/>
      </w:tblPr>
      <w:tblGrid>
        <w:gridCol w:w="3672"/>
        <w:gridCol w:w="3673"/>
        <w:gridCol w:w="3671"/>
      </w:tblGrid>
      <w:tr w:rsidR="00F4411C" w:rsidRPr="00AB61B9" w14:paraId="3A2D95A9" w14:textId="77777777" w:rsidTr="007D128F">
        <w:tc>
          <w:tcPr>
            <w:tcW w:w="1667" w:type="pct"/>
            <w:hideMark/>
          </w:tcPr>
          <w:p w14:paraId="48E7CFB9" w14:textId="77777777" w:rsidR="00F4411C" w:rsidRPr="00AB61B9" w:rsidRDefault="00F4411C" w:rsidP="00217E37">
            <w:pPr>
              <w:rPr>
                <w:rFonts w:ascii="Times New Roman" w:eastAsia="Times New Roman" w:hAnsi="Times New Roman" w:cs="Times New Roman"/>
                <w:sz w:val="24"/>
              </w:rPr>
            </w:pPr>
            <w:r w:rsidRPr="00AB61B9">
              <w:rPr>
                <w:rFonts w:ascii="Times New Roman" w:eastAsia="Times New Roman" w:hAnsi="Times New Roman" w:cs="Times New Roman"/>
                <w:b/>
                <w:bCs/>
                <w:sz w:val="24"/>
              </w:rPr>
              <w:lastRenderedPageBreak/>
              <w:t>Method of Instruction</w:t>
            </w:r>
          </w:p>
        </w:tc>
        <w:tc>
          <w:tcPr>
            <w:tcW w:w="1667" w:type="pct"/>
            <w:hideMark/>
          </w:tcPr>
          <w:p w14:paraId="0018CBF8" w14:textId="77777777" w:rsidR="00F4411C" w:rsidRPr="00AB61B9" w:rsidRDefault="00F4411C" w:rsidP="00217E37">
            <w:pPr>
              <w:jc w:val="center"/>
              <w:rPr>
                <w:rFonts w:ascii="Times New Roman" w:eastAsia="Times New Roman" w:hAnsi="Times New Roman" w:cs="Times New Roman"/>
                <w:sz w:val="24"/>
              </w:rPr>
            </w:pPr>
            <w:r w:rsidRPr="00AB61B9">
              <w:rPr>
                <w:rFonts w:ascii="Times New Roman" w:eastAsia="Times New Roman" w:hAnsi="Times New Roman" w:cs="Times New Roman"/>
                <w:b/>
                <w:bCs/>
                <w:sz w:val="24"/>
              </w:rPr>
              <w:t>Description</w:t>
            </w:r>
          </w:p>
        </w:tc>
        <w:tc>
          <w:tcPr>
            <w:tcW w:w="1666" w:type="pct"/>
            <w:hideMark/>
          </w:tcPr>
          <w:p w14:paraId="5255A1D0" w14:textId="77777777" w:rsidR="00F4411C" w:rsidRPr="00AB61B9" w:rsidRDefault="00F4411C" w:rsidP="00217E37">
            <w:pPr>
              <w:rPr>
                <w:rFonts w:ascii="Times New Roman" w:eastAsia="Times New Roman" w:hAnsi="Times New Roman" w:cs="Times New Roman"/>
                <w:sz w:val="24"/>
              </w:rPr>
            </w:pPr>
            <w:r w:rsidRPr="00AB61B9">
              <w:rPr>
                <w:rFonts w:ascii="Times New Roman" w:eastAsia="Times New Roman" w:hAnsi="Times New Roman" w:cs="Times New Roman"/>
                <w:b/>
                <w:bCs/>
                <w:sz w:val="24"/>
              </w:rPr>
              <w:t>Instructional Hour Equivalency**</w:t>
            </w:r>
          </w:p>
        </w:tc>
      </w:tr>
      <w:tr w:rsidR="00AB61B9" w:rsidRPr="00AB61B9" w14:paraId="170C8787" w14:textId="77777777" w:rsidTr="007D128F">
        <w:tc>
          <w:tcPr>
            <w:tcW w:w="1667" w:type="pct"/>
            <w:hideMark/>
          </w:tcPr>
          <w:p w14:paraId="01D3477E" w14:textId="77777777" w:rsidR="00AB61B9" w:rsidRPr="00AB61B9" w:rsidRDefault="00AB61B9" w:rsidP="00AB61B9">
            <w:pPr>
              <w:rPr>
                <w:rFonts w:eastAsia="Times New Roman"/>
              </w:rPr>
            </w:pPr>
            <w:r w:rsidRPr="00AB61B9">
              <w:rPr>
                <w:rFonts w:eastAsia="Times New Roman"/>
              </w:rPr>
              <w:t>Case Studies and Problem-Solving Scenarios**</w:t>
            </w:r>
          </w:p>
        </w:tc>
        <w:tc>
          <w:tcPr>
            <w:tcW w:w="1667" w:type="pct"/>
            <w:hideMark/>
          </w:tcPr>
          <w:p w14:paraId="216A711C" w14:textId="77777777" w:rsidR="00AB61B9" w:rsidRPr="00AB61B9" w:rsidRDefault="00AB61B9" w:rsidP="00AB61B9">
            <w:pPr>
              <w:rPr>
                <w:rFonts w:eastAsia="Times New Roman"/>
              </w:rPr>
            </w:pPr>
            <w:r w:rsidRPr="00AB61B9">
              <w:rPr>
                <w:rFonts w:eastAsia="Times New Roman"/>
              </w:rPr>
              <w:t>Instructor-facilitated or instructor-mediated case studies and problem-solving scenarios requiring higher-order thinking and analytical skills. Learners submit, share, or post responses produced and assessed according to course or unit rubrics.</w:t>
            </w:r>
          </w:p>
        </w:tc>
        <w:tc>
          <w:tcPr>
            <w:tcW w:w="1666" w:type="pct"/>
            <w:hideMark/>
          </w:tcPr>
          <w:p w14:paraId="0B820BD4" w14:textId="77777777" w:rsidR="00AB61B9" w:rsidRPr="00AB61B9" w:rsidRDefault="00AB61B9" w:rsidP="00AB61B9">
            <w:pPr>
              <w:rPr>
                <w:rFonts w:eastAsia="Times New Roman"/>
              </w:rPr>
            </w:pPr>
            <w:r w:rsidRPr="00AB61B9">
              <w:rPr>
                <w:rFonts w:eastAsia="Times New Roman"/>
              </w:rPr>
              <w:t>1 case study analysis with report or posting = 1 instructional hour</w:t>
            </w:r>
          </w:p>
        </w:tc>
      </w:tr>
      <w:tr w:rsidR="00AB61B9" w:rsidRPr="00AB61B9" w14:paraId="16CCCA60" w14:textId="77777777" w:rsidTr="007D128F">
        <w:tc>
          <w:tcPr>
            <w:tcW w:w="1667" w:type="pct"/>
            <w:hideMark/>
          </w:tcPr>
          <w:p w14:paraId="56B812C5" w14:textId="77777777" w:rsidR="00AB61B9" w:rsidRPr="00AB61B9" w:rsidRDefault="00AB61B9" w:rsidP="00AB61B9">
            <w:pPr>
              <w:rPr>
                <w:rFonts w:eastAsia="Times New Roman"/>
              </w:rPr>
            </w:pPr>
            <w:r w:rsidRPr="00AB61B9">
              <w:rPr>
                <w:rFonts w:eastAsia="Times New Roman"/>
              </w:rPr>
              <w:t>Online Examinations, Tests, and Quizzes</w:t>
            </w:r>
          </w:p>
        </w:tc>
        <w:tc>
          <w:tcPr>
            <w:tcW w:w="1667" w:type="pct"/>
            <w:hideMark/>
          </w:tcPr>
          <w:p w14:paraId="6EB4E967" w14:textId="77777777" w:rsidR="00AB61B9" w:rsidRPr="00AB61B9" w:rsidRDefault="00AB61B9" w:rsidP="00AB61B9">
            <w:pPr>
              <w:rPr>
                <w:rFonts w:eastAsia="Times New Roman"/>
              </w:rPr>
            </w:pPr>
            <w:r w:rsidRPr="00AB61B9">
              <w:rPr>
                <w:rFonts w:eastAsia="Times New Roman"/>
              </w:rPr>
              <w:t>Subject competencies are assessed according to learning goals and objectives using online examinations, tests, and quizzes.</w:t>
            </w:r>
          </w:p>
        </w:tc>
        <w:tc>
          <w:tcPr>
            <w:tcW w:w="1666" w:type="pct"/>
            <w:hideMark/>
          </w:tcPr>
          <w:p w14:paraId="2D6B0C74" w14:textId="77777777" w:rsidR="00AB61B9" w:rsidRPr="00AB61B9" w:rsidRDefault="00AB61B9" w:rsidP="00AB61B9">
            <w:pPr>
              <w:rPr>
                <w:rFonts w:eastAsia="Times New Roman"/>
              </w:rPr>
            </w:pPr>
            <w:r w:rsidRPr="00AB61B9">
              <w:rPr>
                <w:rFonts w:eastAsia="Times New Roman"/>
              </w:rPr>
              <w:t>1 hour of testing = 1 instructional hour</w:t>
            </w:r>
          </w:p>
          <w:p w14:paraId="7EC997AD" w14:textId="77777777" w:rsidR="00AB61B9" w:rsidRPr="00AB61B9" w:rsidRDefault="00AB61B9" w:rsidP="00AB61B9">
            <w:pPr>
              <w:rPr>
                <w:rFonts w:eastAsia="Times New Roman"/>
              </w:rPr>
            </w:pPr>
            <w:r w:rsidRPr="00AB61B9">
              <w:rPr>
                <w:rFonts w:eastAsia="Times New Roman"/>
              </w:rPr>
              <w:t xml:space="preserve">NB: Final examinations may not be counted toward instructional hours, per </w:t>
            </w:r>
            <w:r w:rsidRPr="00AB61B9">
              <w:rPr>
                <w:rFonts w:eastAsia="Times New Roman"/>
                <w:i/>
                <w:iCs/>
              </w:rPr>
              <w:t>Pa. Code 22.</w:t>
            </w:r>
          </w:p>
        </w:tc>
      </w:tr>
      <w:tr w:rsidR="00AB61B9" w:rsidRPr="00AB61B9" w14:paraId="36339128" w14:textId="77777777" w:rsidTr="007D128F">
        <w:tc>
          <w:tcPr>
            <w:tcW w:w="1667" w:type="pct"/>
            <w:hideMark/>
          </w:tcPr>
          <w:p w14:paraId="497C8889" w14:textId="77777777" w:rsidR="00AB61B9" w:rsidRPr="00AB61B9" w:rsidRDefault="00AB61B9" w:rsidP="00AB61B9">
            <w:pPr>
              <w:rPr>
                <w:rFonts w:eastAsia="Times New Roman"/>
              </w:rPr>
            </w:pPr>
            <w:r w:rsidRPr="00AB61B9">
              <w:rPr>
                <w:rFonts w:eastAsia="Times New Roman"/>
              </w:rPr>
              <w:t>Telephonic or Web-based Conference Calls</w:t>
            </w:r>
          </w:p>
        </w:tc>
        <w:tc>
          <w:tcPr>
            <w:tcW w:w="1667" w:type="pct"/>
            <w:hideMark/>
          </w:tcPr>
          <w:p w14:paraId="498ECA6F" w14:textId="77777777" w:rsidR="00AB61B9" w:rsidRPr="00AB61B9" w:rsidRDefault="00AB61B9" w:rsidP="00AB61B9">
            <w:pPr>
              <w:rPr>
                <w:rFonts w:eastAsia="Times New Roman"/>
              </w:rPr>
            </w:pPr>
            <w:r w:rsidRPr="00AB61B9">
              <w:rPr>
                <w:rFonts w:eastAsia="Times New Roman"/>
              </w:rPr>
              <w:t>Instructor-led meetings (synchronous) with learners with assessable course and subject-specific expectations for participation and feedback. Instructors are encouraged to use audio capture technology for later review.</w:t>
            </w:r>
          </w:p>
        </w:tc>
        <w:tc>
          <w:tcPr>
            <w:tcW w:w="1666" w:type="pct"/>
            <w:hideMark/>
          </w:tcPr>
          <w:p w14:paraId="05F8D5ED" w14:textId="77777777" w:rsidR="00AB61B9" w:rsidRPr="00AB61B9" w:rsidRDefault="00AB61B9" w:rsidP="00AB61B9">
            <w:pPr>
              <w:rPr>
                <w:rFonts w:eastAsia="Times New Roman"/>
              </w:rPr>
            </w:pPr>
            <w:r w:rsidRPr="00AB61B9">
              <w:rPr>
                <w:rFonts w:eastAsia="Times New Roman"/>
              </w:rPr>
              <w:t>1-hour web- or teleconference = 1 instructional hour</w:t>
            </w:r>
          </w:p>
        </w:tc>
      </w:tr>
      <w:tr w:rsidR="00AB61B9" w:rsidRPr="00AB61B9" w14:paraId="368979EC" w14:textId="77777777" w:rsidTr="007D128F">
        <w:tc>
          <w:tcPr>
            <w:tcW w:w="1667" w:type="pct"/>
            <w:hideMark/>
          </w:tcPr>
          <w:p w14:paraId="73547DE0" w14:textId="77777777" w:rsidR="00AB61B9" w:rsidRPr="00AB61B9" w:rsidRDefault="00AB61B9" w:rsidP="00AB61B9">
            <w:pPr>
              <w:rPr>
                <w:rFonts w:eastAsia="Times New Roman"/>
              </w:rPr>
            </w:pPr>
            <w:r w:rsidRPr="00AB61B9">
              <w:rPr>
                <w:rFonts w:eastAsia="Times New Roman"/>
              </w:rPr>
              <w:t>Virtual Laboratories</w:t>
            </w:r>
          </w:p>
        </w:tc>
        <w:tc>
          <w:tcPr>
            <w:tcW w:w="1667" w:type="pct"/>
            <w:hideMark/>
          </w:tcPr>
          <w:p w14:paraId="0B6DEC1F" w14:textId="77777777" w:rsidR="00AB61B9" w:rsidRPr="00AB61B9" w:rsidRDefault="00AB61B9" w:rsidP="00AB61B9">
            <w:pPr>
              <w:rPr>
                <w:rFonts w:eastAsia="Times New Roman"/>
              </w:rPr>
            </w:pPr>
            <w:r w:rsidRPr="00AB61B9">
              <w:rPr>
                <w:rFonts w:eastAsia="Times New Roman"/>
              </w:rPr>
              <w:t>Learners use computer-simulation laboratories in blended lab-based courses or in order to replace missed laboratories. Learners submit, share, or post lab reports produced and assessed according to course or unit rubrics.</w:t>
            </w:r>
          </w:p>
        </w:tc>
        <w:tc>
          <w:tcPr>
            <w:tcW w:w="1666" w:type="pct"/>
            <w:hideMark/>
          </w:tcPr>
          <w:p w14:paraId="13080A8D" w14:textId="77777777" w:rsidR="00AB61B9" w:rsidRPr="00AB61B9" w:rsidRDefault="00AB61B9" w:rsidP="00AB61B9">
            <w:pPr>
              <w:rPr>
                <w:rFonts w:eastAsia="Times New Roman"/>
              </w:rPr>
            </w:pPr>
            <w:r w:rsidRPr="00AB61B9">
              <w:rPr>
                <w:rFonts w:eastAsia="Times New Roman"/>
              </w:rPr>
              <w:t>1 hour of virtual laboratory = 1 instructional hour</w:t>
            </w:r>
          </w:p>
        </w:tc>
      </w:tr>
    </w:tbl>
    <w:p w14:paraId="53171D23" w14:textId="77777777" w:rsidR="007D128F" w:rsidRDefault="007D128F" w:rsidP="00AB61B9">
      <w:pPr>
        <w:rPr>
          <w:rFonts w:eastAsia="Times New Roman"/>
        </w:rPr>
      </w:pPr>
    </w:p>
    <w:p w14:paraId="38C5AFB7" w14:textId="77777777" w:rsidR="00AB61B9" w:rsidRPr="00AB61B9" w:rsidRDefault="00AB61B9" w:rsidP="00AB61B9">
      <w:pPr>
        <w:rPr>
          <w:rFonts w:eastAsia="Times New Roman"/>
        </w:rPr>
      </w:pPr>
      <w:r w:rsidRPr="00AB61B9">
        <w:rPr>
          <w:rFonts w:eastAsia="Times New Roman"/>
        </w:rPr>
        <w:t>* Instructional hours are measured in clock hours rather than Carnegie units. Fourteen (14) instructional hours must be provided for each credit hour earned (42 hours = one 3-credit course).</w:t>
      </w:r>
    </w:p>
    <w:p w14:paraId="12F2DDD1" w14:textId="77777777" w:rsidR="00AB61B9" w:rsidRPr="00AB61B9" w:rsidRDefault="00AB61B9" w:rsidP="00AB61B9">
      <w:pPr>
        <w:rPr>
          <w:rFonts w:eastAsia="Times New Roman"/>
        </w:rPr>
      </w:pPr>
      <w:r w:rsidRPr="00AB61B9">
        <w:rPr>
          <w:rFonts w:eastAsia="Times New Roman"/>
        </w:rPr>
        <w:t xml:space="preserve">** Please note that 22 </w:t>
      </w:r>
      <w:r w:rsidRPr="00AB61B9">
        <w:rPr>
          <w:rFonts w:eastAsia="Times New Roman"/>
          <w:i/>
          <w:iCs/>
        </w:rPr>
        <w:t>Pa. Code Chapter 31 (31.21 - 31.22)</w:t>
      </w:r>
      <w:r w:rsidRPr="00AB61B9">
        <w:rPr>
          <w:rFonts w:eastAsia="Times New Roman"/>
        </w:rPr>
        <w:t xml:space="preserve"> designates these activities as “homework” assignments. Instructional hour equivalencies relate only to time spent posting materials, sharing work products for review (with instructors, facilitators, or peers), and providing peer or instructor feedback.</w:t>
      </w:r>
    </w:p>
    <w:p w14:paraId="0A3468B4" w14:textId="77777777" w:rsidR="00224294" w:rsidRDefault="00224294" w:rsidP="00AB61B9"/>
    <w:sectPr w:rsidR="00224294" w:rsidSect="00AB61B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185D" w14:textId="77777777" w:rsidR="00C61FB8" w:rsidRDefault="00C61FB8" w:rsidP="00AB61B9">
      <w:pPr>
        <w:spacing w:after="0"/>
      </w:pPr>
      <w:r>
        <w:separator/>
      </w:r>
    </w:p>
  </w:endnote>
  <w:endnote w:type="continuationSeparator" w:id="0">
    <w:p w14:paraId="20F053EC" w14:textId="77777777" w:rsidR="00C61FB8" w:rsidRDefault="00C61FB8" w:rsidP="00AB6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1FFC" w14:textId="77777777" w:rsidR="00AB61B9" w:rsidRPr="00AB61B9" w:rsidRDefault="00AB61B9">
    <w:pPr>
      <w:pStyle w:val="Footer"/>
      <w:rPr>
        <w:sz w:val="16"/>
        <w:szCs w:val="16"/>
      </w:rPr>
    </w:pPr>
    <w:r w:rsidRPr="00AB61B9">
      <w:rPr>
        <w:noProof/>
        <w:szCs w:val="20"/>
      </w:rPr>
      <w:t xml:space="preserve">Page </w:t>
    </w:r>
    <w:r w:rsidRPr="00AB61B9">
      <w:rPr>
        <w:b/>
        <w:noProof/>
        <w:szCs w:val="20"/>
      </w:rPr>
      <w:fldChar w:fldCharType="begin"/>
    </w:r>
    <w:r w:rsidRPr="00AB61B9">
      <w:rPr>
        <w:b/>
        <w:noProof/>
        <w:szCs w:val="20"/>
      </w:rPr>
      <w:instrText xml:space="preserve"> PAGE  \* Arabic  \* MERGEFORMAT </w:instrText>
    </w:r>
    <w:r w:rsidRPr="00AB61B9">
      <w:rPr>
        <w:b/>
        <w:noProof/>
        <w:szCs w:val="20"/>
      </w:rPr>
      <w:fldChar w:fldCharType="separate"/>
    </w:r>
    <w:r w:rsidR="007D128F">
      <w:rPr>
        <w:b/>
        <w:noProof/>
        <w:szCs w:val="20"/>
      </w:rPr>
      <w:t>3</w:t>
    </w:r>
    <w:r w:rsidRPr="00AB61B9">
      <w:rPr>
        <w:b/>
        <w:noProof/>
        <w:szCs w:val="20"/>
      </w:rPr>
      <w:fldChar w:fldCharType="end"/>
    </w:r>
    <w:r w:rsidRPr="00AB61B9">
      <w:rPr>
        <w:noProof/>
        <w:szCs w:val="20"/>
      </w:rPr>
      <w:t xml:space="preserve"> of </w:t>
    </w:r>
    <w:r w:rsidRPr="00AB61B9">
      <w:rPr>
        <w:b/>
        <w:noProof/>
        <w:szCs w:val="20"/>
      </w:rPr>
      <w:fldChar w:fldCharType="begin"/>
    </w:r>
    <w:r w:rsidRPr="00AB61B9">
      <w:rPr>
        <w:b/>
        <w:noProof/>
        <w:szCs w:val="20"/>
      </w:rPr>
      <w:instrText xml:space="preserve"> NUMPAGES  \* Arabic  \* MERGEFORMAT </w:instrText>
    </w:r>
    <w:r w:rsidRPr="00AB61B9">
      <w:rPr>
        <w:b/>
        <w:noProof/>
        <w:szCs w:val="20"/>
      </w:rPr>
      <w:fldChar w:fldCharType="separate"/>
    </w:r>
    <w:r w:rsidR="007D128F">
      <w:rPr>
        <w:b/>
        <w:noProof/>
        <w:szCs w:val="20"/>
      </w:rPr>
      <w:t>3</w:t>
    </w:r>
    <w:r w:rsidRPr="00AB61B9">
      <w:rPr>
        <w:b/>
        <w:noProof/>
        <w:szCs w:val="20"/>
      </w:rPr>
      <w:fldChar w:fldCharType="end"/>
    </w:r>
    <w:r>
      <w:rPr>
        <w:b/>
        <w:noProof/>
      </w:rPr>
      <w:br/>
    </w:r>
    <w:r w:rsidRPr="00AB61B9">
      <w:rPr>
        <w:noProof/>
        <w:sz w:val="16"/>
        <w:szCs w:val="16"/>
      </w:rPr>
      <w:t>02 April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2311" w14:textId="77777777" w:rsidR="00C61FB8" w:rsidRDefault="00C61FB8" w:rsidP="00AB61B9">
      <w:pPr>
        <w:spacing w:after="0"/>
      </w:pPr>
      <w:r>
        <w:separator/>
      </w:r>
    </w:p>
  </w:footnote>
  <w:footnote w:type="continuationSeparator" w:id="0">
    <w:p w14:paraId="3F62557E" w14:textId="77777777" w:rsidR="00C61FB8" w:rsidRDefault="00C61FB8" w:rsidP="00AB61B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B9"/>
    <w:rsid w:val="001B394C"/>
    <w:rsid w:val="00224294"/>
    <w:rsid w:val="002639C2"/>
    <w:rsid w:val="004B3725"/>
    <w:rsid w:val="00511AAD"/>
    <w:rsid w:val="005B621F"/>
    <w:rsid w:val="007B3287"/>
    <w:rsid w:val="007D128F"/>
    <w:rsid w:val="00AB61B9"/>
    <w:rsid w:val="00C61FB8"/>
    <w:rsid w:val="00F4411C"/>
    <w:rsid w:val="00F9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1185"/>
  <w15:docId w15:val="{33B5D754-FDD1-D745-8B7C-31353C28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1B9"/>
    <w:pPr>
      <w:spacing w:line="240" w:lineRule="auto"/>
    </w:pPr>
    <w:rPr>
      <w:sz w:val="20"/>
    </w:rPr>
  </w:style>
  <w:style w:type="paragraph" w:styleId="Heading1">
    <w:name w:val="heading 1"/>
    <w:basedOn w:val="Normal"/>
    <w:next w:val="Normal"/>
    <w:link w:val="Heading1Char"/>
    <w:uiPriority w:val="9"/>
    <w:qFormat/>
    <w:rsid w:val="00AB6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61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1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61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61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61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61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61B9"/>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AB61B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61B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B61B9"/>
    <w:rPr>
      <w:b/>
      <w:bCs/>
    </w:rPr>
  </w:style>
  <w:style w:type="paragraph" w:styleId="NormalWeb">
    <w:name w:val="Normal (Web)"/>
    <w:basedOn w:val="Normal"/>
    <w:uiPriority w:val="99"/>
    <w:unhideWhenUsed/>
    <w:rsid w:val="00AB61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B61B9"/>
    <w:rPr>
      <w:i/>
      <w:iCs/>
    </w:rPr>
  </w:style>
  <w:style w:type="paragraph" w:styleId="Title">
    <w:name w:val="Title"/>
    <w:basedOn w:val="Normal"/>
    <w:next w:val="Normal"/>
    <w:link w:val="TitleChar"/>
    <w:uiPriority w:val="10"/>
    <w:qFormat/>
    <w:rsid w:val="00AB61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1B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B61B9"/>
    <w:pPr>
      <w:tabs>
        <w:tab w:val="center" w:pos="4680"/>
        <w:tab w:val="right" w:pos="9360"/>
      </w:tabs>
      <w:spacing w:after="0"/>
    </w:pPr>
  </w:style>
  <w:style w:type="character" w:customStyle="1" w:styleId="HeaderChar">
    <w:name w:val="Header Char"/>
    <w:basedOn w:val="DefaultParagraphFont"/>
    <w:link w:val="Header"/>
    <w:uiPriority w:val="99"/>
    <w:rsid w:val="00AB61B9"/>
  </w:style>
  <w:style w:type="paragraph" w:styleId="Footer">
    <w:name w:val="footer"/>
    <w:basedOn w:val="Normal"/>
    <w:link w:val="FooterChar"/>
    <w:uiPriority w:val="99"/>
    <w:unhideWhenUsed/>
    <w:rsid w:val="00AB61B9"/>
    <w:pPr>
      <w:tabs>
        <w:tab w:val="center" w:pos="4680"/>
        <w:tab w:val="right" w:pos="9360"/>
      </w:tabs>
      <w:spacing w:after="0"/>
    </w:pPr>
  </w:style>
  <w:style w:type="character" w:customStyle="1" w:styleId="FooterChar">
    <w:name w:val="Footer Char"/>
    <w:basedOn w:val="DefaultParagraphFont"/>
    <w:link w:val="Footer"/>
    <w:uiPriority w:val="99"/>
    <w:rsid w:val="00AB61B9"/>
  </w:style>
  <w:style w:type="paragraph" w:styleId="BalloonText">
    <w:name w:val="Balloon Text"/>
    <w:basedOn w:val="Normal"/>
    <w:link w:val="BalloonTextChar"/>
    <w:uiPriority w:val="99"/>
    <w:semiHidden/>
    <w:unhideWhenUsed/>
    <w:rsid w:val="00AB61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B9"/>
    <w:rPr>
      <w:rFonts w:ascii="Tahoma" w:hAnsi="Tahoma" w:cs="Tahoma"/>
      <w:sz w:val="16"/>
      <w:szCs w:val="16"/>
    </w:rPr>
  </w:style>
  <w:style w:type="table" w:styleId="MediumList2-Accent1">
    <w:name w:val="Medium List 2 Accent 1"/>
    <w:basedOn w:val="TableNormal"/>
    <w:uiPriority w:val="66"/>
    <w:rsid w:val="00AB61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AB61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B61B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B61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B61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61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61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61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B61B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B61B9"/>
    <w:rPr>
      <w:b/>
      <w:bCs/>
      <w:color w:val="4F81BD" w:themeColor="accent1"/>
      <w:sz w:val="18"/>
      <w:szCs w:val="18"/>
    </w:rPr>
  </w:style>
  <w:style w:type="paragraph" w:styleId="Subtitle">
    <w:name w:val="Subtitle"/>
    <w:basedOn w:val="Normal"/>
    <w:next w:val="Normal"/>
    <w:link w:val="SubtitleChar"/>
    <w:uiPriority w:val="11"/>
    <w:qFormat/>
    <w:rsid w:val="00AB61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61B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B61B9"/>
    <w:pPr>
      <w:spacing w:after="0" w:line="240" w:lineRule="auto"/>
    </w:pPr>
  </w:style>
  <w:style w:type="paragraph" w:styleId="ListParagraph">
    <w:name w:val="List Paragraph"/>
    <w:basedOn w:val="Normal"/>
    <w:uiPriority w:val="34"/>
    <w:qFormat/>
    <w:rsid w:val="00AB61B9"/>
    <w:pPr>
      <w:ind w:left="720"/>
      <w:contextualSpacing/>
    </w:pPr>
  </w:style>
  <w:style w:type="paragraph" w:styleId="Quote">
    <w:name w:val="Quote"/>
    <w:basedOn w:val="Normal"/>
    <w:next w:val="Normal"/>
    <w:link w:val="QuoteChar"/>
    <w:uiPriority w:val="29"/>
    <w:qFormat/>
    <w:rsid w:val="00AB61B9"/>
    <w:rPr>
      <w:i/>
      <w:iCs/>
      <w:color w:val="000000" w:themeColor="text1"/>
    </w:rPr>
  </w:style>
  <w:style w:type="character" w:customStyle="1" w:styleId="QuoteChar">
    <w:name w:val="Quote Char"/>
    <w:basedOn w:val="DefaultParagraphFont"/>
    <w:link w:val="Quote"/>
    <w:uiPriority w:val="29"/>
    <w:rsid w:val="00AB61B9"/>
    <w:rPr>
      <w:i/>
      <w:iCs/>
      <w:color w:val="000000" w:themeColor="text1"/>
    </w:rPr>
  </w:style>
  <w:style w:type="paragraph" w:styleId="IntenseQuote">
    <w:name w:val="Intense Quote"/>
    <w:basedOn w:val="Normal"/>
    <w:next w:val="Normal"/>
    <w:link w:val="IntenseQuoteChar"/>
    <w:uiPriority w:val="30"/>
    <w:qFormat/>
    <w:rsid w:val="00AB61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61B9"/>
    <w:rPr>
      <w:b/>
      <w:bCs/>
      <w:i/>
      <w:iCs/>
      <w:color w:val="4F81BD" w:themeColor="accent1"/>
    </w:rPr>
  </w:style>
  <w:style w:type="character" w:styleId="SubtleEmphasis">
    <w:name w:val="Subtle Emphasis"/>
    <w:basedOn w:val="DefaultParagraphFont"/>
    <w:uiPriority w:val="19"/>
    <w:qFormat/>
    <w:rsid w:val="00AB61B9"/>
    <w:rPr>
      <w:i/>
      <w:iCs/>
      <w:color w:val="808080" w:themeColor="text1" w:themeTint="7F"/>
    </w:rPr>
  </w:style>
  <w:style w:type="character" w:styleId="IntenseEmphasis">
    <w:name w:val="Intense Emphasis"/>
    <w:basedOn w:val="DefaultParagraphFont"/>
    <w:uiPriority w:val="21"/>
    <w:qFormat/>
    <w:rsid w:val="00AB61B9"/>
    <w:rPr>
      <w:b/>
      <w:bCs/>
      <w:i/>
      <w:iCs/>
      <w:color w:val="4F81BD" w:themeColor="accent1"/>
    </w:rPr>
  </w:style>
  <w:style w:type="character" w:styleId="SubtleReference">
    <w:name w:val="Subtle Reference"/>
    <w:basedOn w:val="DefaultParagraphFont"/>
    <w:uiPriority w:val="31"/>
    <w:qFormat/>
    <w:rsid w:val="00AB61B9"/>
    <w:rPr>
      <w:smallCaps/>
      <w:color w:val="C0504D" w:themeColor="accent2"/>
      <w:u w:val="single"/>
    </w:rPr>
  </w:style>
  <w:style w:type="character" w:styleId="IntenseReference">
    <w:name w:val="Intense Reference"/>
    <w:basedOn w:val="DefaultParagraphFont"/>
    <w:uiPriority w:val="32"/>
    <w:qFormat/>
    <w:rsid w:val="00AB61B9"/>
    <w:rPr>
      <w:b/>
      <w:bCs/>
      <w:smallCaps/>
      <w:color w:val="C0504D" w:themeColor="accent2"/>
      <w:spacing w:val="5"/>
      <w:u w:val="single"/>
    </w:rPr>
  </w:style>
  <w:style w:type="character" w:styleId="BookTitle">
    <w:name w:val="Book Title"/>
    <w:basedOn w:val="DefaultParagraphFont"/>
    <w:uiPriority w:val="33"/>
    <w:qFormat/>
    <w:rsid w:val="00AB61B9"/>
    <w:rPr>
      <w:b/>
      <w:bCs/>
      <w:smallCaps/>
      <w:spacing w:val="5"/>
    </w:rPr>
  </w:style>
  <w:style w:type="paragraph" w:styleId="TOCHeading">
    <w:name w:val="TOC Heading"/>
    <w:basedOn w:val="Heading1"/>
    <w:next w:val="Normal"/>
    <w:uiPriority w:val="39"/>
    <w:semiHidden/>
    <w:unhideWhenUsed/>
    <w:qFormat/>
    <w:rsid w:val="00AB61B9"/>
    <w:pPr>
      <w:outlineLvl w:val="9"/>
    </w:pPr>
  </w:style>
  <w:style w:type="table" w:styleId="MediumShading2-Accent1">
    <w:name w:val="Medium Shading 2 Accent 1"/>
    <w:basedOn w:val="TableNormal"/>
    <w:uiPriority w:val="64"/>
    <w:rsid w:val="007D12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D12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D12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D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keadkins</dc:creator>
  <cp:lastModifiedBy>KB</cp:lastModifiedBy>
  <cp:revision>2</cp:revision>
  <dcterms:created xsi:type="dcterms:W3CDTF">2020-05-13T02:42:00Z</dcterms:created>
  <dcterms:modified xsi:type="dcterms:W3CDTF">2020-05-13T02:42:00Z</dcterms:modified>
</cp:coreProperties>
</file>